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18E976FD"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5065E0">
        <w:rPr>
          <w:rFonts w:ascii="Times New Roman" w:eastAsia="Times New Roman" w:hAnsi="Times New Roman" w:cs="Times New Roman"/>
          <w:b/>
          <w:sz w:val="26"/>
          <w:szCs w:val="26"/>
        </w:rPr>
        <w:t xml:space="preserve">February </w:t>
      </w:r>
      <w:r w:rsidR="00D92C3E">
        <w:rPr>
          <w:rFonts w:ascii="Times New Roman" w:eastAsia="Times New Roman" w:hAnsi="Times New Roman" w:cs="Times New Roman"/>
          <w:b/>
          <w:sz w:val="26"/>
          <w:szCs w:val="26"/>
        </w:rPr>
        <w:t>27</w:t>
      </w:r>
      <w:r w:rsidR="005C7B68" w:rsidRPr="005C7B68">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29018D">
        <w:rPr>
          <w:rFonts w:ascii="Times New Roman" w:eastAsia="Times New Roman" w:hAnsi="Times New Roman" w:cs="Times New Roman"/>
          <w:b/>
          <w:sz w:val="26"/>
          <w:szCs w:val="26"/>
        </w:rPr>
        <w:t xml:space="preserve"> </w:t>
      </w:r>
      <w:r w:rsidR="00570A85">
        <w:rPr>
          <w:rFonts w:ascii="Times New Roman" w:eastAsia="Times New Roman" w:hAnsi="Times New Roman" w:cs="Times New Roman"/>
          <w:b/>
          <w:sz w:val="26"/>
          <w:szCs w:val="26"/>
        </w:rPr>
        <w:br/>
        <w:t>February Averages the Highest Weekly New Ad Level Since October 2020</w:t>
      </w:r>
    </w:p>
    <w:p w14:paraId="4ED4A6CA" w14:textId="1B19FC9B"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D92C3E">
        <w:rPr>
          <w:rFonts w:ascii="Calibri" w:hAnsi="Calibri" w:cs="Calibri"/>
          <w:color w:val="000000"/>
          <w:shd w:val="clear" w:color="auto" w:fill="FFFFFF"/>
        </w:rPr>
        <w:t>March 5th</w:t>
      </w:r>
      <w:r w:rsidR="000D2A90" w:rsidRPr="000D2A90">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5F22E3">
        <w:rPr>
          <w:rFonts w:cstheme="minorHAnsi"/>
          <w:color w:val="000000"/>
          <w:shd w:val="clear" w:color="auto" w:fill="FFFFFF"/>
        </w:rPr>
        <w:t xml:space="preserve">February </w:t>
      </w:r>
      <w:r w:rsidR="00D92C3E">
        <w:rPr>
          <w:rFonts w:cstheme="minorHAnsi"/>
          <w:color w:val="000000"/>
          <w:shd w:val="clear" w:color="auto" w:fill="FFFFFF"/>
        </w:rPr>
        <w:t>27</w:t>
      </w:r>
      <w:r w:rsidR="005C7B68" w:rsidRPr="005C7B68">
        <w:rPr>
          <w:rFonts w:cstheme="minorHAnsi"/>
          <w:color w:val="000000"/>
          <w:shd w:val="clear" w:color="auto" w:fill="FFFFFF"/>
          <w:vertAlign w:val="superscript"/>
        </w:rPr>
        <w:t>th</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29018D">
        <w:rPr>
          <w:rFonts w:cstheme="minorHAnsi"/>
          <w:color w:val="000000"/>
          <w:shd w:val="clear" w:color="auto" w:fill="FFFFFF"/>
        </w:rPr>
        <w:t>4,</w:t>
      </w:r>
      <w:r w:rsidR="00D92C3E">
        <w:rPr>
          <w:rFonts w:cstheme="minorHAnsi"/>
          <w:color w:val="000000"/>
          <w:shd w:val="clear" w:color="auto" w:fill="FFFFFF"/>
        </w:rPr>
        <w:t>223</w:t>
      </w:r>
      <w:r w:rsidR="00570A85">
        <w:rPr>
          <w:rFonts w:cstheme="minorHAnsi"/>
          <w:color w:val="000000"/>
          <w:shd w:val="clear" w:color="auto" w:fill="FFFFFF"/>
        </w:rPr>
        <w:t xml:space="preserve"> </w:t>
      </w:r>
      <w:r w:rsidR="00F062D4">
        <w:rPr>
          <w:rFonts w:cstheme="minorHAnsi"/>
          <w:color w:val="000000"/>
          <w:shd w:val="clear" w:color="auto" w:fill="FFFFFF"/>
        </w:rPr>
        <w:t>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D92C3E">
        <w:rPr>
          <w:rFonts w:cstheme="minorHAnsi"/>
          <w:color w:val="000000"/>
          <w:shd w:val="clear" w:color="auto" w:fill="FFFFFF"/>
        </w:rPr>
        <w:t>down</w:t>
      </w:r>
      <w:r w:rsidR="0029018D">
        <w:rPr>
          <w:rFonts w:cstheme="minorHAnsi"/>
          <w:color w:val="000000"/>
          <w:shd w:val="clear" w:color="auto" w:fill="FFFFFF"/>
        </w:rPr>
        <w:t xml:space="preserve"> </w:t>
      </w:r>
      <w:r w:rsidR="00D92C3E">
        <w:rPr>
          <w:rFonts w:cstheme="minorHAnsi"/>
          <w:color w:val="000000"/>
          <w:shd w:val="clear" w:color="auto" w:fill="FFFFFF"/>
        </w:rPr>
        <w:t xml:space="preserve">-25% </w:t>
      </w:r>
      <w:r w:rsidR="0029018D">
        <w:rPr>
          <w:rFonts w:cstheme="minorHAnsi"/>
          <w:color w:val="000000"/>
          <w:shd w:val="clear" w:color="auto" w:fill="FFFFFF"/>
        </w:rPr>
        <w:t xml:space="preserve">ads from </w:t>
      </w:r>
      <w:r w:rsidR="00055871" w:rsidRPr="00C02590">
        <w:rPr>
          <w:rFonts w:cstheme="minorHAnsi"/>
          <w:color w:val="000000"/>
          <w:shd w:val="clear" w:color="auto" w:fill="FFFFFF"/>
        </w:rPr>
        <w:t>a week ago</w:t>
      </w:r>
      <w:r w:rsidR="00D92C3E">
        <w:rPr>
          <w:rFonts w:cstheme="minorHAnsi"/>
          <w:color w:val="000000"/>
          <w:shd w:val="clear" w:color="auto" w:fill="FFFFFF"/>
        </w:rPr>
        <w:t xml:space="preserve"> but up 5% from two weeks ago.  The mid-February new ad spike echoes a similar uptick in January and was </w:t>
      </w:r>
      <w:r w:rsidR="003E4128">
        <w:rPr>
          <w:rFonts w:cstheme="minorHAnsi"/>
          <w:color w:val="000000"/>
          <w:shd w:val="clear" w:color="auto" w:fill="FFFFFF"/>
        </w:rPr>
        <w:t>driven in part by Health Care &amp; Social Assistance job ads, which accounted for over a third of over the week ad change during the past two weeks (up 656 new ads ending 2/20 and down 512 ads ending 2/27).</w:t>
      </w:r>
      <w:r w:rsidR="00570A85">
        <w:rPr>
          <w:rFonts w:cstheme="minorHAnsi"/>
          <w:color w:val="000000"/>
          <w:shd w:val="clear" w:color="auto" w:fill="FFFFFF"/>
        </w:rPr>
        <w:t xml:space="preserve">  The month of February had an average weekly new ad count of 4,459, compared to 4,255 in January.  This is the highest monthly average since October 2020, which averaged 4,798 new ads per week.  </w:t>
      </w:r>
      <w:r w:rsidR="003E4128">
        <w:rPr>
          <w:rFonts w:cstheme="minorHAnsi"/>
          <w:color w:val="000000"/>
          <w:shd w:val="clear" w:color="auto" w:fill="FFFFFF"/>
        </w:rPr>
        <w:br/>
      </w:r>
      <w:r w:rsidR="009D217D" w:rsidRPr="00D92C3E">
        <w:rPr>
          <w:rFonts w:cstheme="minorHAnsi"/>
          <w:i/>
          <w:iCs/>
          <w:color w:val="000000"/>
          <w:shd w:val="clear" w:color="auto" w:fill="FFFFFF"/>
        </w:rPr>
        <w:br/>
      </w:r>
      <w:r w:rsidR="009D217D">
        <w:rPr>
          <w:rFonts w:cstheme="minorHAnsi"/>
          <w:color w:val="000000"/>
          <w:shd w:val="clear" w:color="auto" w:fill="FFFFFF"/>
        </w:rPr>
        <w:br/>
      </w:r>
      <w:r w:rsidR="00D92C3E">
        <w:rPr>
          <w:noProof/>
        </w:rPr>
        <w:drawing>
          <wp:inline distT="0" distB="0" distL="0" distR="0" wp14:anchorId="39DCE7A7" wp14:editId="3C082D70">
            <wp:extent cx="6847840" cy="3133090"/>
            <wp:effectExtent l="0" t="0" r="10160" b="10160"/>
            <wp:docPr id="2" name="Chart 2">
              <a:extLst xmlns:a="http://schemas.openxmlformats.org/drawingml/2006/main">
                <a:ext uri="{FF2B5EF4-FFF2-40B4-BE49-F238E27FC236}">
                  <a16:creationId xmlns:a16="http://schemas.microsoft.com/office/drawing/2014/main" id="{4C8A1665-B456-445B-8C72-9ADCECAAD4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C5AD10" w14:textId="58FD3BD5"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7E0DFA">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B04811">
        <w:rPr>
          <w:rFonts w:ascii="Calibri" w:hAnsi="Calibri" w:cs="Calibri"/>
          <w:color w:val="000000"/>
          <w:shd w:val="clear" w:color="auto" w:fill="FFFFFF"/>
        </w:rPr>
        <w:t>Manufacturing</w:t>
      </w:r>
    </w:p>
    <w:p w14:paraId="2519C3A4" w14:textId="265238DD"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CA4A81">
        <w:rPr>
          <w:rFonts w:ascii="Calibri" w:hAnsi="Calibri" w:cs="Calibri"/>
          <w:color w:val="000000"/>
          <w:shd w:val="clear" w:color="auto" w:fill="FFFFFF"/>
        </w:rPr>
        <w:t>Registered Nurses, Software Developers, and Retail Salespersons</w:t>
      </w:r>
      <w:r w:rsidR="003E5406">
        <w:rPr>
          <w:rFonts w:ascii="Calibri" w:hAnsi="Calibri" w:cs="Calibri"/>
          <w:color w:val="000000"/>
          <w:shd w:val="clear" w:color="auto" w:fill="FFFFFF"/>
        </w:rPr>
        <w:t>.</w:t>
      </w:r>
    </w:p>
    <w:p w14:paraId="0098D66D" w14:textId="73635CFD"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A4A81">
        <w:rPr>
          <w:rFonts w:ascii="Calibri" w:hAnsi="Calibri" w:cs="Calibri"/>
          <w:color w:val="000000"/>
          <w:shd w:val="clear" w:color="auto" w:fill="FFFFFF"/>
        </w:rPr>
        <w:t xml:space="preserve"> </w:t>
      </w:r>
      <w:r w:rsidR="003E5406">
        <w:rPr>
          <w:rFonts w:ascii="Calibri" w:hAnsi="Calibri" w:cs="Calibri"/>
          <w:color w:val="000000"/>
          <w:shd w:val="clear" w:color="auto" w:fill="FFFFFF"/>
        </w:rPr>
        <w:t>Hartford Healthcare,</w:t>
      </w:r>
      <w:r w:rsidR="00CA4A81">
        <w:rPr>
          <w:rFonts w:ascii="Calibri" w:hAnsi="Calibri" w:cs="Calibri"/>
          <w:color w:val="000000"/>
          <w:shd w:val="clear" w:color="auto" w:fill="FFFFFF"/>
        </w:rPr>
        <w:t xml:space="preserve"> the State of Connecticut, and Stamford Hospital.</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758515B4"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363E73">
        <w:rPr>
          <w:rFonts w:eastAsia="Times New Roman" w:cstheme="minorHAnsi"/>
        </w:rPr>
        <w:t>817</w:t>
      </w:r>
      <w:r w:rsidR="00A402EB">
        <w:rPr>
          <w:rFonts w:eastAsia="Times New Roman" w:cstheme="minorHAnsi"/>
        </w:rPr>
        <w:t xml:space="preserve"> </w:t>
      </w:r>
      <w:r w:rsidR="00B55C0D" w:rsidRPr="0018490F">
        <w:rPr>
          <w:rFonts w:eastAsia="Times New Roman" w:cstheme="minorHAnsi"/>
        </w:rPr>
        <w:t xml:space="preserve">new postings, </w:t>
      </w:r>
      <w:r w:rsidR="00363E73">
        <w:rPr>
          <w:rFonts w:eastAsia="Times New Roman" w:cstheme="minorHAnsi"/>
        </w:rPr>
        <w:t>-38.5</w:t>
      </w:r>
      <w:r w:rsidR="003223A1">
        <w:rPr>
          <w:rFonts w:eastAsia="Times New Roman" w:cstheme="minorHAnsi"/>
        </w:rPr>
        <w:t>%</w:t>
      </w:r>
      <w:r w:rsidR="00B55C0D" w:rsidRPr="0018490F">
        <w:rPr>
          <w:rFonts w:eastAsia="Times New Roman" w:cstheme="minorHAnsi"/>
        </w:rPr>
        <w:t xml:space="preserve"> over the week)</w:t>
      </w:r>
    </w:p>
    <w:p w14:paraId="4BFEB3FD" w14:textId="19875B1F" w:rsidR="00C679E2" w:rsidRPr="0018490F" w:rsidRDefault="0013165B"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sidR="00363E73">
        <w:rPr>
          <w:rFonts w:eastAsia="Times New Roman" w:cstheme="minorHAnsi"/>
        </w:rPr>
        <w:t>371</w:t>
      </w:r>
      <w:r w:rsidR="00C679E2" w:rsidRPr="0018490F">
        <w:rPr>
          <w:rFonts w:eastAsia="Times New Roman" w:cstheme="minorHAnsi"/>
        </w:rPr>
        <w:t xml:space="preserve"> new postings, </w:t>
      </w:r>
      <w:r w:rsidR="00363E73">
        <w:rPr>
          <w:rFonts w:eastAsia="Times New Roman" w:cstheme="minorHAnsi"/>
        </w:rPr>
        <w:t>-38.7</w:t>
      </w:r>
      <w:r w:rsidR="00EA012C">
        <w:rPr>
          <w:rFonts w:eastAsia="Times New Roman" w:cstheme="minorHAnsi"/>
        </w:rPr>
        <w:t>%</w:t>
      </w:r>
      <w:r w:rsidR="00C679E2" w:rsidRPr="0018490F">
        <w:rPr>
          <w:rFonts w:eastAsia="Times New Roman" w:cstheme="minorHAnsi"/>
        </w:rPr>
        <w:t xml:space="preserve"> over the week)</w:t>
      </w:r>
    </w:p>
    <w:p w14:paraId="5247AA36" w14:textId="3000574B" w:rsidR="004A753B" w:rsidRPr="004A753B" w:rsidRDefault="00C02590" w:rsidP="004A753B">
      <w:pPr>
        <w:pStyle w:val="ListParagraph"/>
        <w:numPr>
          <w:ilvl w:val="0"/>
          <w:numId w:val="1"/>
        </w:numPr>
        <w:rPr>
          <w:rFonts w:eastAsia="Times New Roman" w:cstheme="minorHAnsi"/>
        </w:rPr>
      </w:pPr>
      <w:r>
        <w:rPr>
          <w:rFonts w:eastAsia="Times New Roman" w:cstheme="minorHAnsi"/>
          <w:b/>
          <w:bCs/>
        </w:rPr>
        <w:t>Manufacturing</w:t>
      </w:r>
      <w:r w:rsidR="004A753B" w:rsidRPr="0018490F">
        <w:rPr>
          <w:rFonts w:eastAsia="Times New Roman" w:cstheme="minorHAnsi"/>
          <w:b/>
          <w:bCs/>
        </w:rPr>
        <w:t xml:space="preserve"> </w:t>
      </w:r>
      <w:r w:rsidR="004A753B" w:rsidRPr="0018490F">
        <w:rPr>
          <w:rFonts w:eastAsia="Times New Roman" w:cstheme="minorHAnsi"/>
        </w:rPr>
        <w:t>(</w:t>
      </w:r>
      <w:r w:rsidR="003E5406">
        <w:rPr>
          <w:rFonts w:eastAsia="Times New Roman" w:cstheme="minorHAnsi"/>
        </w:rPr>
        <w:t>3</w:t>
      </w:r>
      <w:r w:rsidR="00363E73">
        <w:rPr>
          <w:rFonts w:eastAsia="Times New Roman" w:cstheme="minorHAnsi"/>
        </w:rPr>
        <w:t>43</w:t>
      </w:r>
      <w:r w:rsidR="00B55C0D">
        <w:rPr>
          <w:rFonts w:eastAsia="Times New Roman" w:cstheme="minorHAnsi"/>
        </w:rPr>
        <w:t xml:space="preserve"> </w:t>
      </w:r>
      <w:r w:rsidR="004A753B" w:rsidRPr="0018490F">
        <w:rPr>
          <w:rFonts w:eastAsia="Times New Roman" w:cstheme="minorHAnsi"/>
        </w:rPr>
        <w:t xml:space="preserve">new postings, </w:t>
      </w:r>
      <w:r w:rsidR="00153249">
        <w:rPr>
          <w:rFonts w:eastAsia="Times New Roman" w:cstheme="minorHAnsi"/>
        </w:rPr>
        <w:t>-</w:t>
      </w:r>
      <w:r w:rsidR="00363E73">
        <w:rPr>
          <w:rFonts w:eastAsia="Times New Roman" w:cstheme="minorHAnsi"/>
        </w:rPr>
        <w:t>30.7</w:t>
      </w:r>
      <w:r w:rsidR="00153249">
        <w:rPr>
          <w:rFonts w:eastAsia="Times New Roman" w:cstheme="minorHAnsi"/>
        </w:rPr>
        <w:t>% over</w:t>
      </w:r>
      <w:r w:rsidR="004A753B" w:rsidRPr="0018490F">
        <w:rPr>
          <w:rFonts w:eastAsia="Times New Roman" w:cstheme="minorHAnsi"/>
        </w:rPr>
        <w:t xml:space="preserve"> the week)</w:t>
      </w:r>
    </w:p>
    <w:p w14:paraId="152B1299" w14:textId="391E3BE5" w:rsidR="00363E73" w:rsidRDefault="00CA4A81" w:rsidP="00363E73">
      <w:r w:rsidRPr="00CA4A81">
        <w:rPr>
          <w:noProof/>
        </w:rPr>
        <w:drawing>
          <wp:inline distT="0" distB="0" distL="0" distR="0" wp14:anchorId="2BAD266F" wp14:editId="727CCF01">
            <wp:extent cx="6847840" cy="40925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92575"/>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r>
    </w:p>
    <w:p w14:paraId="5915EAC3" w14:textId="2E26E092" w:rsidR="00363E73" w:rsidRPr="00AD1C3E" w:rsidRDefault="003E4128" w:rsidP="00363E73">
      <w:pPr>
        <w:rPr>
          <w:rFonts w:ascii="Calibri" w:hAnsi="Calibri" w:cs="Calibri"/>
          <w:color w:val="000000"/>
          <w:shd w:val="clear" w:color="auto" w:fill="FFFFFF"/>
        </w:rPr>
      </w:pPr>
      <w:r>
        <w:t xml:space="preserve"> </w:t>
      </w:r>
      <w:r>
        <w:tab/>
        <w:t xml:space="preserve">All but two sectors had job posting decreases over the week ending </w:t>
      </w:r>
      <w:r w:rsidR="00363E73">
        <w:t>February</w:t>
      </w:r>
      <w:r>
        <w:t xml:space="preserve"> 27</w:t>
      </w:r>
      <w:r w:rsidRPr="003E4128">
        <w:rPr>
          <w:vertAlign w:val="superscript"/>
        </w:rPr>
        <w:t>th</w:t>
      </w:r>
      <w:r>
        <w:t xml:space="preserve">.  </w:t>
      </w:r>
      <w:r w:rsidR="00363E73">
        <w:t>The largest sector decreases over the week occurred in Health Care and Social Assistance (-512 new ads or -3</w:t>
      </w:r>
      <w:r w:rsidR="00CA4A81">
        <w:t>9</w:t>
      </w:r>
      <w:r w:rsidR="00363E73">
        <w:t>%), Retail Trade (-234 new ads or -3</w:t>
      </w:r>
      <w:r w:rsidR="00CA4A81">
        <w:t>9</w:t>
      </w:r>
      <w:r w:rsidR="00363E73">
        <w:t>%), and Manufacturing (-152 new ads or -3</w:t>
      </w:r>
      <w:r w:rsidR="00CA4A81">
        <w:t>1</w:t>
      </w:r>
      <w:r w:rsidR="00363E73">
        <w:t xml:space="preserve">%). </w:t>
      </w:r>
      <w:r>
        <w:t>The two with increases were Other Services (+28 ads or +3</w:t>
      </w:r>
      <w:r w:rsidR="00CA4A81">
        <w:t>3</w:t>
      </w:r>
      <w:r>
        <w:t xml:space="preserve">% and Arts, Entertainment &amp; Recreation (+1 ad or +2%).  </w:t>
      </w:r>
      <w:r w:rsidR="00363E73">
        <w:t>Over two weeks most industries had new ad increases.  The largest being Health Care &amp; Social Assistance (+144 since 2/13) and Accommodation and Food Services (+114 since 2/13).</w:t>
      </w:r>
      <w:r w:rsidR="00CA4A81">
        <w:t xml:space="preserve">  The largest industry </w:t>
      </w:r>
      <w:proofErr w:type="gramStart"/>
      <w:r w:rsidR="00CA4A81">
        <w:t>decrease</w:t>
      </w:r>
      <w:proofErr w:type="gramEnd"/>
      <w:r w:rsidR="00CA4A81">
        <w:t xml:space="preserve"> over two weeks occurred in Retail Trade (-169 since 2/13).</w:t>
      </w:r>
      <w:r>
        <w:br/>
      </w:r>
    </w:p>
    <w:p w14:paraId="73AC04ED" w14:textId="44E5FB24" w:rsidR="001A6B33" w:rsidRDefault="00D56862">
      <w:pPr>
        <w:rPr>
          <w:rStyle w:val="Hyperlink"/>
        </w:rPr>
      </w:pPr>
      <w:r w:rsidRPr="00AD1C3E">
        <w:rPr>
          <w:rFonts w:ascii="Calibri" w:hAnsi="Calibri" w:cs="Calibri"/>
          <w:color w:val="000000"/>
          <w:shd w:val="clear" w:color="auto" w:fill="FFFFFF"/>
        </w:rPr>
        <w:t xml:space="preserve"> </w:t>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1" w:history="1">
        <w:r w:rsidR="00543012" w:rsidRPr="00AD1C3E">
          <w:rPr>
            <w:rStyle w:val="Hyperlink"/>
          </w:rPr>
          <w:t>https://www1.ctdol.state.ct.us/lmi/hwol.asp</w:t>
        </w:r>
      </w:hyperlink>
    </w:p>
    <w:p w14:paraId="04131CDE" w14:textId="77777777" w:rsidR="001415DC" w:rsidRPr="001415DC" w:rsidRDefault="001415DC">
      <w:pPr>
        <w:rPr>
          <w:rStyle w:val="Hyperlink"/>
          <w:rFonts w:ascii="Calibri" w:hAnsi="Calibri" w:cs="Calibri"/>
          <w:color w:val="000000"/>
          <w:u w:val="none"/>
          <w:shd w:val="clear" w:color="auto" w:fill="FFFFFF"/>
        </w:rPr>
      </w:pPr>
    </w:p>
    <w:p w14:paraId="331D1AE0" w14:textId="7E9CC16A" w:rsidR="00FF2FA9" w:rsidRDefault="00FF2FA9">
      <w:pPr>
        <w:rPr>
          <w:rStyle w:val="Hyperlink"/>
        </w:rPr>
      </w:pPr>
    </w:p>
    <w:p w14:paraId="5EB4E8A1" w14:textId="77777777" w:rsidR="00FF2FA9" w:rsidRPr="00C704AD" w:rsidRDefault="00FF2FA9">
      <w:pPr>
        <w:rPr>
          <w:rFonts w:ascii="Calibri" w:hAnsi="Calibri" w:cs="Calibri"/>
          <w:color w:val="000000"/>
          <w:shd w:val="clear" w:color="auto" w:fill="FFFFFF"/>
        </w:rPr>
      </w:pPr>
    </w:p>
    <w:p w14:paraId="40C005D9" w14:textId="77777777" w:rsidR="00016720" w:rsidRDefault="00016720" w:rsidP="00543012">
      <w:pPr>
        <w:jc w:val="center"/>
        <w:rPr>
          <w:rFonts w:eastAsia="Times New Roman" w:cstheme="minorHAnsi"/>
          <w:b/>
          <w:bCs/>
          <w:sz w:val="40"/>
          <w:szCs w:val="40"/>
        </w:rPr>
      </w:pPr>
    </w:p>
    <w:p w14:paraId="090E58D1" w14:textId="5B8CB9C8"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616BE3EB" w14:textId="2CB4C3B5" w:rsidR="00016720" w:rsidRPr="0088622E" w:rsidRDefault="002C0D5B" w:rsidP="00016720">
      <w:pPr>
        <w:rPr>
          <w:rFonts w:ascii="Calibri" w:hAnsi="Calibri" w:cs="Calibri"/>
          <w:b/>
          <w:color w:val="000000"/>
          <w:shd w:val="clear" w:color="auto" w:fill="FFFFFF"/>
        </w:rPr>
      </w:pPr>
      <w:r w:rsidRPr="002C0D5B">
        <w:rPr>
          <w:noProof/>
        </w:rPr>
        <w:drawing>
          <wp:inline distT="0" distB="0" distL="0" distR="0" wp14:anchorId="3476F8CF" wp14:editId="4BA5A4EC">
            <wp:extent cx="6847840" cy="53657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365750"/>
                    </a:xfrm>
                    <a:prstGeom prst="rect">
                      <a:avLst/>
                    </a:prstGeom>
                    <a:noFill/>
                    <a:ln>
                      <a:noFill/>
                    </a:ln>
                  </pic:spPr>
                </pic:pic>
              </a:graphicData>
            </a:graphic>
          </wp:inline>
        </w:drawing>
      </w:r>
      <w:r w:rsidR="00016720">
        <w:rPr>
          <w:rFonts w:eastAsia="Times New Roman" w:cstheme="minorHAnsi"/>
          <w:b/>
          <w:bCs/>
        </w:rPr>
        <w:br/>
      </w:r>
      <w:r w:rsidR="00016720" w:rsidRPr="0088622E">
        <w:rPr>
          <w:rFonts w:ascii="Calibri" w:hAnsi="Calibri" w:cs="Calibri"/>
          <w:b/>
          <w:color w:val="000000"/>
          <w:shd w:val="clear" w:color="auto" w:fill="FFFFFF"/>
        </w:rPr>
        <w:t xml:space="preserve">The occupations </w:t>
      </w:r>
      <w:r w:rsidR="00016720">
        <w:rPr>
          <w:rFonts w:ascii="Calibri" w:hAnsi="Calibri" w:cs="Calibri"/>
          <w:b/>
          <w:color w:val="000000"/>
          <w:shd w:val="clear" w:color="auto" w:fill="FFFFFF"/>
        </w:rPr>
        <w:t xml:space="preserve">with the </w:t>
      </w:r>
      <w:proofErr w:type="gramStart"/>
      <w:r w:rsidR="00016720">
        <w:rPr>
          <w:rFonts w:ascii="Calibri" w:hAnsi="Calibri" w:cs="Calibri"/>
          <w:b/>
          <w:color w:val="000000"/>
          <w:shd w:val="clear" w:color="auto" w:fill="FFFFFF"/>
        </w:rPr>
        <w:t>most new</w:t>
      </w:r>
      <w:proofErr w:type="gramEnd"/>
      <w:r w:rsidR="00016720">
        <w:rPr>
          <w:rFonts w:ascii="Calibri" w:hAnsi="Calibri" w:cs="Calibri"/>
          <w:b/>
          <w:color w:val="000000"/>
          <w:shd w:val="clear" w:color="auto" w:fill="FFFFFF"/>
        </w:rPr>
        <w:t xml:space="preserve"> posting</w:t>
      </w:r>
      <w:r w:rsidR="00016720" w:rsidRPr="0088622E">
        <w:rPr>
          <w:rFonts w:ascii="Calibri" w:hAnsi="Calibri" w:cs="Calibri"/>
          <w:b/>
          <w:color w:val="000000"/>
          <w:shd w:val="clear" w:color="auto" w:fill="FFFFFF"/>
        </w:rPr>
        <w:t>s were</w:t>
      </w:r>
      <w:r w:rsidR="00016720">
        <w:rPr>
          <w:rFonts w:ascii="Calibri" w:hAnsi="Calibri" w:cs="Calibri"/>
          <w:b/>
          <w:color w:val="000000"/>
          <w:shd w:val="clear" w:color="auto" w:fill="FFFFFF"/>
        </w:rPr>
        <w:t>:</w:t>
      </w:r>
    </w:p>
    <w:p w14:paraId="03138C43" w14:textId="301891A4" w:rsidR="00016720" w:rsidRPr="00C704AD" w:rsidRDefault="00016720" w:rsidP="00016720">
      <w:pPr>
        <w:pStyle w:val="ListParagraph"/>
        <w:numPr>
          <w:ilvl w:val="0"/>
          <w:numId w:val="2"/>
        </w:numPr>
        <w:rPr>
          <w:rFonts w:eastAsia="Times New Roman" w:cstheme="minorHAnsi"/>
          <w:b/>
          <w:bCs/>
        </w:rPr>
      </w:pPr>
      <w:r>
        <w:rPr>
          <w:rFonts w:eastAsia="Times New Roman" w:cstheme="minorHAnsi"/>
        </w:rPr>
        <w:t>Re</w:t>
      </w:r>
      <w:r w:rsidR="00CA4A81">
        <w:rPr>
          <w:rFonts w:eastAsia="Times New Roman" w:cstheme="minorHAnsi"/>
        </w:rPr>
        <w:t xml:space="preserve">gistered Nurses </w:t>
      </w:r>
      <w:r>
        <w:rPr>
          <w:rFonts w:eastAsia="Times New Roman" w:cstheme="minorHAnsi"/>
        </w:rPr>
        <w:t>(</w:t>
      </w:r>
      <w:r w:rsidR="009837A8">
        <w:rPr>
          <w:rFonts w:eastAsia="Times New Roman" w:cstheme="minorHAnsi"/>
        </w:rPr>
        <w:t>1</w:t>
      </w:r>
      <w:r w:rsidR="002C0D5B">
        <w:rPr>
          <w:rFonts w:eastAsia="Times New Roman" w:cstheme="minorHAnsi"/>
        </w:rPr>
        <w:t>94</w:t>
      </w:r>
      <w:r>
        <w:rPr>
          <w:rFonts w:eastAsia="Times New Roman" w:cstheme="minorHAnsi"/>
        </w:rPr>
        <w:t xml:space="preserve"> new postings, </w:t>
      </w:r>
      <w:r w:rsidR="002C0D5B">
        <w:rPr>
          <w:rFonts w:eastAsia="Times New Roman" w:cstheme="minorHAnsi"/>
        </w:rPr>
        <w:t>-22</w:t>
      </w:r>
      <w:r>
        <w:rPr>
          <w:rFonts w:eastAsia="Times New Roman" w:cstheme="minorHAnsi"/>
        </w:rPr>
        <w:t>% over the week)</w:t>
      </w:r>
    </w:p>
    <w:p w14:paraId="10BB9816" w14:textId="3BA2E165" w:rsidR="00016720" w:rsidRPr="00016720" w:rsidRDefault="009837A8" w:rsidP="00016720">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Software Developers, Applications </w:t>
      </w:r>
      <w:r w:rsidR="00016720" w:rsidRPr="0088622E">
        <w:rPr>
          <w:rFonts w:ascii="Calibri" w:hAnsi="Calibri" w:cs="Calibri"/>
          <w:color w:val="000000"/>
          <w:shd w:val="clear" w:color="auto" w:fill="FFFFFF"/>
        </w:rPr>
        <w:t>(</w:t>
      </w:r>
      <w:r w:rsidR="00016720">
        <w:rPr>
          <w:rFonts w:ascii="Calibri" w:hAnsi="Calibri" w:cs="Calibri"/>
          <w:color w:val="000000"/>
          <w:shd w:val="clear" w:color="auto" w:fill="FFFFFF"/>
        </w:rPr>
        <w:t>1</w:t>
      </w:r>
      <w:r>
        <w:rPr>
          <w:rFonts w:ascii="Calibri" w:hAnsi="Calibri" w:cs="Calibri"/>
          <w:color w:val="000000"/>
          <w:shd w:val="clear" w:color="auto" w:fill="FFFFFF"/>
        </w:rPr>
        <w:t>4</w:t>
      </w:r>
      <w:r w:rsidR="002C0D5B">
        <w:rPr>
          <w:rFonts w:ascii="Calibri" w:hAnsi="Calibri" w:cs="Calibri"/>
          <w:color w:val="000000"/>
          <w:shd w:val="clear" w:color="auto" w:fill="FFFFFF"/>
        </w:rPr>
        <w:t>8</w:t>
      </w:r>
      <w:r w:rsidR="00016720">
        <w:rPr>
          <w:rFonts w:ascii="Calibri" w:hAnsi="Calibri" w:cs="Calibri"/>
          <w:color w:val="000000"/>
          <w:shd w:val="clear" w:color="auto" w:fill="FFFFFF"/>
        </w:rPr>
        <w:t xml:space="preserve"> new posting</w:t>
      </w:r>
      <w:r w:rsidR="00016720" w:rsidRPr="0088622E">
        <w:rPr>
          <w:rFonts w:ascii="Calibri" w:hAnsi="Calibri" w:cs="Calibri"/>
          <w:color w:val="000000"/>
          <w:shd w:val="clear" w:color="auto" w:fill="FFFFFF"/>
        </w:rPr>
        <w:t xml:space="preserve">s, </w:t>
      </w:r>
      <w:r w:rsidR="002C0D5B">
        <w:rPr>
          <w:rFonts w:ascii="Calibri" w:hAnsi="Calibri" w:cs="Calibri"/>
          <w:color w:val="000000"/>
          <w:shd w:val="clear" w:color="auto" w:fill="FFFFFF"/>
        </w:rPr>
        <w:t>+74</w:t>
      </w:r>
      <w:r w:rsidR="00016720" w:rsidRPr="0088622E">
        <w:rPr>
          <w:rFonts w:ascii="Calibri" w:hAnsi="Calibri" w:cs="Calibri"/>
          <w:color w:val="000000"/>
          <w:shd w:val="clear" w:color="auto" w:fill="FFFFFF"/>
        </w:rPr>
        <w:t>% over the week)</w:t>
      </w:r>
    </w:p>
    <w:p w14:paraId="7C6C2D82" w14:textId="5F0D354F" w:rsidR="0074132D" w:rsidRPr="00016720" w:rsidRDefault="00CA4A81" w:rsidP="00016720">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016720" w:rsidRPr="00016720">
        <w:rPr>
          <w:rFonts w:ascii="Calibri" w:hAnsi="Calibri" w:cs="Calibri"/>
          <w:color w:val="000000"/>
          <w:shd w:val="clear" w:color="auto" w:fill="FFFFFF"/>
        </w:rPr>
        <w:t xml:space="preserve"> </w:t>
      </w:r>
      <w:r w:rsidR="00016720" w:rsidRPr="00016720">
        <w:rPr>
          <w:rFonts w:eastAsia="Times New Roman" w:cstheme="minorHAnsi"/>
        </w:rPr>
        <w:t>(</w:t>
      </w:r>
      <w:r w:rsidR="009837A8">
        <w:rPr>
          <w:rFonts w:eastAsia="Times New Roman" w:cstheme="minorHAnsi"/>
        </w:rPr>
        <w:t>1</w:t>
      </w:r>
      <w:r>
        <w:rPr>
          <w:rFonts w:eastAsia="Times New Roman" w:cstheme="minorHAnsi"/>
        </w:rPr>
        <w:t>1</w:t>
      </w:r>
      <w:r w:rsidR="009837A8">
        <w:rPr>
          <w:rFonts w:eastAsia="Times New Roman" w:cstheme="minorHAnsi"/>
        </w:rPr>
        <w:t>4</w:t>
      </w:r>
      <w:r w:rsidR="00016720" w:rsidRPr="00016720">
        <w:rPr>
          <w:rFonts w:eastAsia="Times New Roman" w:cstheme="minorHAnsi"/>
        </w:rPr>
        <w:t xml:space="preserve"> new postings, </w:t>
      </w:r>
      <w:r>
        <w:rPr>
          <w:rFonts w:eastAsia="Times New Roman" w:cstheme="minorHAnsi"/>
        </w:rPr>
        <w:t>-27</w:t>
      </w:r>
      <w:r w:rsidR="00016720" w:rsidRPr="00016720">
        <w:rPr>
          <w:rFonts w:eastAsia="Times New Roman" w:cstheme="minorHAnsi"/>
        </w:rPr>
        <w:t>% over the week)</w:t>
      </w:r>
      <w:r w:rsidR="00016720" w:rsidRPr="00016720">
        <w:rPr>
          <w:rFonts w:eastAsia="Times New Roman" w:cstheme="minorHAnsi"/>
        </w:rPr>
        <w:br/>
      </w:r>
    </w:p>
    <w:p w14:paraId="2FA98D4B" w14:textId="15F8D78F" w:rsidR="00A37F91" w:rsidRDefault="00F0324E" w:rsidP="00A37F91">
      <w:pPr>
        <w:jc w:val="cente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A37F91" w:rsidRPr="00A37F91">
        <w:t xml:space="preserve"> </w:t>
      </w:r>
      <w:r w:rsidR="00FE4203" w:rsidRPr="00FE4203">
        <w:rPr>
          <w:noProof/>
        </w:rPr>
        <w:drawing>
          <wp:inline distT="0" distB="0" distL="0" distR="0" wp14:anchorId="3E14BA1E" wp14:editId="3E4C5C4E">
            <wp:extent cx="4652467" cy="479165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2117" cy="4801596"/>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4F8FA7FC" w14:textId="4D43EF28" w:rsidR="00B35662" w:rsidRPr="002C0D5B" w:rsidRDefault="001F5DC9" w:rsidP="00B8099B">
      <w:pPr>
        <w:rPr>
          <w:rFonts w:eastAsia="Times New Roman" w:cstheme="minorHAnsi"/>
        </w:rPr>
      </w:pP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B77E05">
        <w:rPr>
          <w:rFonts w:eastAsia="Times New Roman" w:cstheme="minorHAnsi"/>
        </w:rPr>
        <w:t xml:space="preserve">February </w:t>
      </w:r>
      <w:r w:rsidR="00371D8C">
        <w:rPr>
          <w:rFonts w:eastAsia="Times New Roman" w:cstheme="minorHAnsi"/>
        </w:rPr>
        <w:t>27</w:t>
      </w:r>
      <w:r w:rsidR="00B77E05" w:rsidRPr="00B77E05">
        <w:rPr>
          <w:rFonts w:eastAsia="Times New Roman" w:cstheme="minorHAnsi"/>
          <w:vertAlign w:val="superscript"/>
        </w:rPr>
        <w:t>th</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xml:space="preserve">, </w:t>
      </w:r>
      <w:r w:rsidR="00BB73D5">
        <w:rPr>
          <w:rFonts w:eastAsia="Times New Roman" w:cstheme="minorHAnsi"/>
        </w:rPr>
        <w:t xml:space="preserve">Health Care, </w:t>
      </w:r>
      <w:r w:rsidR="001B68C7">
        <w:rPr>
          <w:rFonts w:eastAsia="Times New Roman" w:cstheme="minorHAnsi"/>
        </w:rPr>
        <w:t>and</w:t>
      </w:r>
      <w:r w:rsidR="004B555E">
        <w:rPr>
          <w:rFonts w:eastAsia="Times New Roman" w:cstheme="minorHAnsi"/>
        </w:rPr>
        <w:t xml:space="preserve"> Retail Trade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FE4203">
        <w:rPr>
          <w:rFonts w:eastAsia="Times New Roman" w:cstheme="minorHAnsi"/>
        </w:rPr>
        <w:t>18</w:t>
      </w:r>
      <w:r w:rsidR="004B555E">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B73D5">
        <w:rPr>
          <w:rFonts w:eastAsia="Times New Roman" w:cstheme="minorHAnsi"/>
        </w:rPr>
        <w:t>1</w:t>
      </w:r>
      <w:r w:rsidR="00FE4203">
        <w:rPr>
          <w:rFonts w:eastAsia="Times New Roman" w:cstheme="minorHAnsi"/>
        </w:rPr>
        <w:t>4</w:t>
      </w:r>
      <w:r>
        <w:rPr>
          <w:rFonts w:eastAsia="Times New Roman" w:cstheme="minorHAnsi"/>
        </w:rPr>
        <w:t xml:space="preserve"> had over the week </w:t>
      </w:r>
      <w:r w:rsidR="00FE4203">
        <w:rPr>
          <w:rFonts w:eastAsia="Times New Roman" w:cstheme="minorHAnsi"/>
        </w:rPr>
        <w:t>de</w:t>
      </w:r>
      <w:r>
        <w:rPr>
          <w:rFonts w:eastAsia="Times New Roman" w:cstheme="minorHAnsi"/>
        </w:rPr>
        <w:t>creases</w:t>
      </w:r>
      <w:r w:rsidR="00BB73D5">
        <w:rPr>
          <w:rFonts w:eastAsia="Times New Roman" w:cstheme="minorHAnsi"/>
        </w:rPr>
        <w:t xml:space="preserve"> and </w:t>
      </w:r>
      <w:r w:rsidR="00FE4203">
        <w:rPr>
          <w:rFonts w:eastAsia="Times New Roman" w:cstheme="minorHAnsi"/>
        </w:rPr>
        <w:t>11</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BB73D5">
        <w:rPr>
          <w:rFonts w:eastAsia="Times New Roman" w:cstheme="minorHAnsi"/>
        </w:rPr>
        <w:t>1</w:t>
      </w:r>
      <w:r w:rsidR="00FE4203">
        <w:rPr>
          <w:rFonts w:eastAsia="Times New Roman" w:cstheme="minorHAnsi"/>
        </w:rPr>
        <w:t>4</w:t>
      </w:r>
      <w:r w:rsidR="004B555E">
        <w:rPr>
          <w:rFonts w:eastAsia="Times New Roman" w:cstheme="minorHAnsi"/>
        </w:rPr>
        <w:t xml:space="preserve"> </w:t>
      </w:r>
      <w:r w:rsidR="00FE4203">
        <w:rPr>
          <w:rFonts w:eastAsia="Times New Roman" w:cstheme="minorHAnsi"/>
        </w:rPr>
        <w:t>de</w:t>
      </w:r>
      <w:r w:rsidR="00016321">
        <w:rPr>
          <w:rFonts w:eastAsia="Times New Roman" w:cstheme="minorHAnsi"/>
        </w:rPr>
        <w:t xml:space="preserve">creasing employers had a combined </w:t>
      </w:r>
      <w:r w:rsidR="00A37F91">
        <w:rPr>
          <w:rFonts w:eastAsia="Times New Roman" w:cstheme="minorHAnsi"/>
        </w:rPr>
        <w:t>30</w:t>
      </w:r>
      <w:r w:rsidR="00FE4203">
        <w:rPr>
          <w:rFonts w:eastAsia="Times New Roman" w:cstheme="minorHAnsi"/>
        </w:rPr>
        <w:t>9</w:t>
      </w:r>
      <w:r w:rsidR="00BB73D5">
        <w:rPr>
          <w:rFonts w:eastAsia="Times New Roman" w:cstheme="minorHAnsi"/>
        </w:rPr>
        <w:t xml:space="preserve"> n</w:t>
      </w:r>
      <w:r w:rsidR="00016321">
        <w:rPr>
          <w:rFonts w:eastAsia="Times New Roman" w:cstheme="minorHAnsi"/>
        </w:rPr>
        <w:t xml:space="preserve">ew ad </w:t>
      </w:r>
      <w:r w:rsidR="00FE4203">
        <w:rPr>
          <w:rFonts w:eastAsia="Times New Roman" w:cstheme="minorHAnsi"/>
        </w:rPr>
        <w:t>de</w:t>
      </w:r>
      <w:r w:rsidR="00016321">
        <w:rPr>
          <w:rFonts w:eastAsia="Times New Roman" w:cstheme="minorHAnsi"/>
        </w:rPr>
        <w:t>crease</w:t>
      </w:r>
      <w:r w:rsidR="00245B2E">
        <w:rPr>
          <w:rFonts w:eastAsia="Times New Roman" w:cstheme="minorHAnsi"/>
        </w:rPr>
        <w:t>, the largest occurred in</w:t>
      </w:r>
      <w:r w:rsidR="00FE4203">
        <w:rPr>
          <w:rFonts w:eastAsia="Times New Roman" w:cstheme="minorHAnsi"/>
        </w:rPr>
        <w:t xml:space="preserve"> Hartford Healthcare</w:t>
      </w:r>
      <w:r w:rsidR="00245B2E">
        <w:rPr>
          <w:rFonts w:eastAsia="Times New Roman" w:cstheme="minorHAnsi"/>
        </w:rPr>
        <w:t xml:space="preserve"> (</w:t>
      </w:r>
      <w:r w:rsidR="00FE4203">
        <w:rPr>
          <w:rFonts w:eastAsia="Times New Roman" w:cstheme="minorHAnsi"/>
        </w:rPr>
        <w:t>-177</w:t>
      </w:r>
      <w:r w:rsidR="00245B2E">
        <w:rPr>
          <w:rFonts w:eastAsia="Times New Roman" w:cstheme="minorHAnsi"/>
        </w:rPr>
        <w:t xml:space="preserve"> new ads) and </w:t>
      </w:r>
      <w:r w:rsidR="00FE4203">
        <w:rPr>
          <w:rFonts w:eastAsia="Times New Roman" w:cstheme="minorHAnsi"/>
        </w:rPr>
        <w:t>CVS Health</w:t>
      </w:r>
      <w:r w:rsidR="00245B2E">
        <w:rPr>
          <w:rFonts w:eastAsia="Times New Roman" w:cstheme="minorHAnsi"/>
        </w:rPr>
        <w:t xml:space="preserve"> (</w:t>
      </w:r>
      <w:r w:rsidR="00FE4203">
        <w:rPr>
          <w:rFonts w:eastAsia="Times New Roman" w:cstheme="minorHAnsi"/>
        </w:rPr>
        <w:t xml:space="preserve">-34 </w:t>
      </w:r>
      <w:r w:rsidR="00245B2E">
        <w:rPr>
          <w:rFonts w:eastAsia="Times New Roman" w:cstheme="minorHAnsi"/>
        </w:rPr>
        <w:t xml:space="preserve">new ads).  </w:t>
      </w:r>
      <w:r w:rsidR="00C64650">
        <w:rPr>
          <w:rFonts w:eastAsia="Times New Roman" w:cstheme="minorHAnsi"/>
        </w:rPr>
        <w:t xml:space="preserve">Among the </w:t>
      </w:r>
      <w:r w:rsidR="00FE4203">
        <w:rPr>
          <w:rFonts w:eastAsia="Times New Roman" w:cstheme="minorHAnsi"/>
        </w:rPr>
        <w:t>12</w:t>
      </w:r>
      <w:r w:rsidR="00C64650">
        <w:rPr>
          <w:rFonts w:eastAsia="Times New Roman" w:cstheme="minorHAnsi"/>
        </w:rPr>
        <w:t xml:space="preserve"> </w:t>
      </w:r>
      <w:r w:rsidR="00FE4203">
        <w:rPr>
          <w:rFonts w:eastAsia="Times New Roman" w:cstheme="minorHAnsi"/>
        </w:rPr>
        <w:t>in</w:t>
      </w:r>
      <w:r w:rsidR="00C64650">
        <w:rPr>
          <w:rFonts w:eastAsia="Times New Roman" w:cstheme="minorHAnsi"/>
        </w:rPr>
        <w:t xml:space="preserve">creasing employers in the top 25, </w:t>
      </w:r>
      <w:r w:rsidR="00FE4203">
        <w:rPr>
          <w:rFonts w:eastAsia="Times New Roman" w:cstheme="minorHAnsi"/>
        </w:rPr>
        <w:t>the State of Connecticut</w:t>
      </w:r>
      <w:r w:rsidR="00A37F91">
        <w:rPr>
          <w:rFonts w:eastAsia="Times New Roman" w:cstheme="minorHAnsi"/>
        </w:rPr>
        <w:t xml:space="preserve"> (</w:t>
      </w:r>
      <w:r w:rsidR="00FE4203">
        <w:rPr>
          <w:rFonts w:eastAsia="Times New Roman" w:cstheme="minorHAnsi"/>
        </w:rPr>
        <w:t>+75</w:t>
      </w:r>
      <w:r w:rsidR="00A37F91">
        <w:rPr>
          <w:rFonts w:eastAsia="Times New Roman" w:cstheme="minorHAnsi"/>
        </w:rPr>
        <w:t xml:space="preserve"> new ads) and</w:t>
      </w:r>
      <w:r w:rsidR="00FE4203">
        <w:rPr>
          <w:rFonts w:eastAsia="Times New Roman" w:cstheme="minorHAnsi"/>
        </w:rPr>
        <w:t xml:space="preserve"> Stamford </w:t>
      </w:r>
      <w:proofErr w:type="spellStart"/>
      <w:r w:rsidR="00FE4203">
        <w:rPr>
          <w:rFonts w:eastAsia="Times New Roman" w:cstheme="minorHAnsi"/>
        </w:rPr>
        <w:t>Hosptial</w:t>
      </w:r>
      <w:proofErr w:type="spellEnd"/>
      <w:r w:rsidR="00A37F91">
        <w:rPr>
          <w:rFonts w:eastAsia="Times New Roman" w:cstheme="minorHAnsi"/>
        </w:rPr>
        <w:t xml:space="preserve"> </w:t>
      </w:r>
      <w:r w:rsidR="00FE4203">
        <w:rPr>
          <w:rFonts w:eastAsia="Times New Roman" w:cstheme="minorHAnsi"/>
        </w:rPr>
        <w:t>(+53</w:t>
      </w:r>
      <w:r w:rsidR="00A37F91">
        <w:rPr>
          <w:rFonts w:eastAsia="Times New Roman" w:cstheme="minorHAnsi"/>
        </w:rPr>
        <w:t xml:space="preserve"> new ads) had the largest </w:t>
      </w:r>
      <w:r w:rsidR="00FE4203">
        <w:rPr>
          <w:rFonts w:eastAsia="Times New Roman" w:cstheme="minorHAnsi"/>
        </w:rPr>
        <w:t>in</w:t>
      </w:r>
      <w:r w:rsidR="00A37F91">
        <w:rPr>
          <w:rFonts w:eastAsia="Times New Roman" w:cstheme="minorHAnsi"/>
        </w:rPr>
        <w:t xml:space="preserve">creases.  Over </w:t>
      </w:r>
      <w:r w:rsidR="00FE4203">
        <w:rPr>
          <w:rFonts w:eastAsia="Times New Roman" w:cstheme="minorHAnsi"/>
        </w:rPr>
        <w:t>two</w:t>
      </w:r>
      <w:r w:rsidR="00A37F91">
        <w:rPr>
          <w:rFonts w:eastAsia="Times New Roman" w:cstheme="minorHAnsi"/>
        </w:rPr>
        <w:t xml:space="preserve"> weeks, most of the top 25 employers had increases, the largest w</w:t>
      </w:r>
      <w:r w:rsidR="002C0D5B">
        <w:rPr>
          <w:rFonts w:eastAsia="Times New Roman" w:cstheme="minorHAnsi"/>
        </w:rPr>
        <w:t>as</w:t>
      </w:r>
      <w:r w:rsidR="00A37F91">
        <w:rPr>
          <w:rFonts w:eastAsia="Times New Roman" w:cstheme="minorHAnsi"/>
        </w:rPr>
        <w:t xml:space="preserve"> </w:t>
      </w:r>
      <w:r w:rsidR="00FE4203">
        <w:rPr>
          <w:rFonts w:eastAsia="Times New Roman" w:cstheme="minorHAnsi"/>
        </w:rPr>
        <w:t>the State of Connecticut</w:t>
      </w:r>
      <w:r w:rsidR="00A37F91">
        <w:rPr>
          <w:rFonts w:eastAsia="Times New Roman" w:cstheme="minorHAnsi"/>
        </w:rPr>
        <w:t xml:space="preserve"> (+</w:t>
      </w:r>
      <w:r w:rsidR="00FE4203">
        <w:rPr>
          <w:rFonts w:eastAsia="Times New Roman" w:cstheme="minorHAnsi"/>
        </w:rPr>
        <w:t>78</w:t>
      </w:r>
      <w:r w:rsidR="00A37F91">
        <w:rPr>
          <w:rFonts w:eastAsia="Times New Roman" w:cstheme="minorHAnsi"/>
        </w:rPr>
        <w:t xml:space="preserve"> new ads)</w:t>
      </w:r>
      <w:r w:rsidR="00FE4203">
        <w:rPr>
          <w:rFonts w:eastAsia="Times New Roman" w:cstheme="minorHAnsi"/>
        </w:rPr>
        <w:t xml:space="preserve"> and the largest decrease </w:t>
      </w:r>
      <w:r w:rsidR="002C0D5B">
        <w:rPr>
          <w:rFonts w:eastAsia="Times New Roman" w:cstheme="minorHAnsi"/>
        </w:rPr>
        <w:t>was Travelers (-14 new ads)</w:t>
      </w:r>
      <w:r w:rsidR="00CA4A81">
        <w:rPr>
          <w:rFonts w:eastAsia="Times New Roman" w:cstheme="minorHAnsi"/>
        </w:rPr>
        <w:t>.</w:t>
      </w:r>
      <w:r w:rsidR="002C0D5B">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r w:rsidR="004042F2">
        <w:rPr>
          <w:rFonts w:eastAsia="Times New Roman" w:cstheme="minorHAnsi"/>
          <w:sz w:val="20"/>
          <w:szCs w:val="20"/>
        </w:rPr>
        <w:t xml:space="preserve">  </w:t>
      </w:r>
      <w:r w:rsidR="00B35662" w:rsidRPr="004042F2">
        <w:rPr>
          <w:rFonts w:eastAsia="Times New Roman" w:cstheme="minorHAnsi"/>
          <w:sz w:val="20"/>
          <w:szCs w:val="20"/>
        </w:rPr>
        <w:t xml:space="preserve">To view </w:t>
      </w:r>
      <w:r w:rsidR="00F0324E" w:rsidRPr="004042F2">
        <w:rPr>
          <w:rFonts w:eastAsia="Times New Roman" w:cstheme="minorHAnsi"/>
          <w:sz w:val="20"/>
          <w:szCs w:val="20"/>
        </w:rPr>
        <w:t>more</w:t>
      </w:r>
      <w:r w:rsidR="00B35662" w:rsidRPr="004042F2">
        <w:rPr>
          <w:rFonts w:eastAsia="Times New Roman" w:cstheme="minorHAnsi"/>
          <w:sz w:val="20"/>
          <w:szCs w:val="20"/>
        </w:rPr>
        <w:t xml:space="preserve"> HWOL data, go to: </w:t>
      </w:r>
      <w:hyperlink r:id="rId14" w:history="1">
        <w:r w:rsidR="00B35662" w:rsidRPr="006D1C64">
          <w:rPr>
            <w:rStyle w:val="Hyperlink"/>
            <w:rFonts w:eastAsia="Times New Roman" w:cstheme="minorHAnsi"/>
            <w:b/>
            <w:bCs/>
            <w:sz w:val="20"/>
            <w:szCs w:val="20"/>
          </w:rPr>
          <w:t>https://www1.ctdol.state.ct.us/lmi/pubs/HWOL2020.pdf</w:t>
        </w:r>
      </w:hyperlink>
    </w:p>
    <w:sectPr w:rsidR="00B35662" w:rsidRPr="002C0D5B"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05D7" w14:textId="77777777" w:rsidR="00521727" w:rsidRDefault="00521727" w:rsidP="00D01564">
      <w:pPr>
        <w:spacing w:after="0" w:line="240" w:lineRule="auto"/>
      </w:pPr>
      <w:r>
        <w:separator/>
      </w:r>
    </w:p>
  </w:endnote>
  <w:endnote w:type="continuationSeparator" w:id="0">
    <w:p w14:paraId="716567C1" w14:textId="77777777" w:rsidR="00521727" w:rsidRDefault="0052172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4C4D" w14:textId="77777777" w:rsidR="00521727" w:rsidRDefault="00521727" w:rsidP="00D01564">
      <w:pPr>
        <w:spacing w:after="0" w:line="240" w:lineRule="auto"/>
      </w:pPr>
      <w:r>
        <w:separator/>
      </w:r>
    </w:p>
  </w:footnote>
  <w:footnote w:type="continuationSeparator" w:id="0">
    <w:p w14:paraId="4EDC36AA" w14:textId="77777777" w:rsidR="00521727" w:rsidRDefault="00521727"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3D24"/>
    <w:rsid w:val="00004843"/>
    <w:rsid w:val="00006264"/>
    <w:rsid w:val="00013B9D"/>
    <w:rsid w:val="00014886"/>
    <w:rsid w:val="00014C63"/>
    <w:rsid w:val="00016321"/>
    <w:rsid w:val="00016720"/>
    <w:rsid w:val="00020E4E"/>
    <w:rsid w:val="00021E93"/>
    <w:rsid w:val="00026DE4"/>
    <w:rsid w:val="00027784"/>
    <w:rsid w:val="00033251"/>
    <w:rsid w:val="00033922"/>
    <w:rsid w:val="000341AB"/>
    <w:rsid w:val="00035D23"/>
    <w:rsid w:val="00044370"/>
    <w:rsid w:val="00047E86"/>
    <w:rsid w:val="00054FE2"/>
    <w:rsid w:val="00055871"/>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65B"/>
    <w:rsid w:val="00131745"/>
    <w:rsid w:val="001329FE"/>
    <w:rsid w:val="00132BE3"/>
    <w:rsid w:val="001344B1"/>
    <w:rsid w:val="00134DDD"/>
    <w:rsid w:val="00135EB6"/>
    <w:rsid w:val="00136614"/>
    <w:rsid w:val="001415DC"/>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5B2E"/>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018D"/>
    <w:rsid w:val="00291CA2"/>
    <w:rsid w:val="00291E8C"/>
    <w:rsid w:val="0029388C"/>
    <w:rsid w:val="002A0563"/>
    <w:rsid w:val="002A2648"/>
    <w:rsid w:val="002A315A"/>
    <w:rsid w:val="002A34FA"/>
    <w:rsid w:val="002A3FB6"/>
    <w:rsid w:val="002A43AA"/>
    <w:rsid w:val="002A4697"/>
    <w:rsid w:val="002A554F"/>
    <w:rsid w:val="002A5A6C"/>
    <w:rsid w:val="002A760E"/>
    <w:rsid w:val="002B09E0"/>
    <w:rsid w:val="002B1B1F"/>
    <w:rsid w:val="002B2521"/>
    <w:rsid w:val="002B2998"/>
    <w:rsid w:val="002B44A7"/>
    <w:rsid w:val="002B4939"/>
    <w:rsid w:val="002B56FE"/>
    <w:rsid w:val="002C0B45"/>
    <w:rsid w:val="002C0D5B"/>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3E73"/>
    <w:rsid w:val="003647EF"/>
    <w:rsid w:val="003703E5"/>
    <w:rsid w:val="0037161D"/>
    <w:rsid w:val="00371AED"/>
    <w:rsid w:val="00371D8C"/>
    <w:rsid w:val="0037525C"/>
    <w:rsid w:val="00376CD4"/>
    <w:rsid w:val="00381DB8"/>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39D"/>
    <w:rsid w:val="003E3936"/>
    <w:rsid w:val="003E4128"/>
    <w:rsid w:val="003E5406"/>
    <w:rsid w:val="003E5ED3"/>
    <w:rsid w:val="003E7D05"/>
    <w:rsid w:val="003F1203"/>
    <w:rsid w:val="0040001C"/>
    <w:rsid w:val="00401BE1"/>
    <w:rsid w:val="0040296B"/>
    <w:rsid w:val="0040322B"/>
    <w:rsid w:val="00403826"/>
    <w:rsid w:val="004042F2"/>
    <w:rsid w:val="00407BF9"/>
    <w:rsid w:val="00413A22"/>
    <w:rsid w:val="0041589B"/>
    <w:rsid w:val="00416A82"/>
    <w:rsid w:val="00420649"/>
    <w:rsid w:val="004217E0"/>
    <w:rsid w:val="00421D97"/>
    <w:rsid w:val="004330CE"/>
    <w:rsid w:val="00433E67"/>
    <w:rsid w:val="00434063"/>
    <w:rsid w:val="00437656"/>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11168"/>
    <w:rsid w:val="00512CAB"/>
    <w:rsid w:val="00515CB9"/>
    <w:rsid w:val="00516C85"/>
    <w:rsid w:val="00520D02"/>
    <w:rsid w:val="00520E0D"/>
    <w:rsid w:val="005214CA"/>
    <w:rsid w:val="00521727"/>
    <w:rsid w:val="00525ECE"/>
    <w:rsid w:val="00526D32"/>
    <w:rsid w:val="0053001F"/>
    <w:rsid w:val="00530A84"/>
    <w:rsid w:val="00530AD8"/>
    <w:rsid w:val="00530B83"/>
    <w:rsid w:val="0053266D"/>
    <w:rsid w:val="00532CD4"/>
    <w:rsid w:val="0053599E"/>
    <w:rsid w:val="00540CEE"/>
    <w:rsid w:val="00542615"/>
    <w:rsid w:val="00543012"/>
    <w:rsid w:val="005443E5"/>
    <w:rsid w:val="00550E61"/>
    <w:rsid w:val="005525E3"/>
    <w:rsid w:val="005530CC"/>
    <w:rsid w:val="00554AD5"/>
    <w:rsid w:val="00557093"/>
    <w:rsid w:val="005638C6"/>
    <w:rsid w:val="00563E6D"/>
    <w:rsid w:val="00564DC8"/>
    <w:rsid w:val="0056717B"/>
    <w:rsid w:val="00570A85"/>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C38A5"/>
    <w:rsid w:val="005C7B68"/>
    <w:rsid w:val="005D058B"/>
    <w:rsid w:val="005D0B53"/>
    <w:rsid w:val="005D224C"/>
    <w:rsid w:val="005E145B"/>
    <w:rsid w:val="005E29DA"/>
    <w:rsid w:val="005E3FA2"/>
    <w:rsid w:val="005F1B78"/>
    <w:rsid w:val="005F22E3"/>
    <w:rsid w:val="005F4716"/>
    <w:rsid w:val="005F65DF"/>
    <w:rsid w:val="005F67AB"/>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674F4"/>
    <w:rsid w:val="006765A2"/>
    <w:rsid w:val="00681321"/>
    <w:rsid w:val="00682DC8"/>
    <w:rsid w:val="00684BAC"/>
    <w:rsid w:val="00685E69"/>
    <w:rsid w:val="00686CEC"/>
    <w:rsid w:val="006908C0"/>
    <w:rsid w:val="00690BB6"/>
    <w:rsid w:val="0069781C"/>
    <w:rsid w:val="006A0C2E"/>
    <w:rsid w:val="006A0DA3"/>
    <w:rsid w:val="006A0F52"/>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3B1E"/>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21A4"/>
    <w:rsid w:val="007D371B"/>
    <w:rsid w:val="007D3F02"/>
    <w:rsid w:val="007D45E3"/>
    <w:rsid w:val="007D4E22"/>
    <w:rsid w:val="007D7712"/>
    <w:rsid w:val="007E0DFA"/>
    <w:rsid w:val="007E792A"/>
    <w:rsid w:val="007F462B"/>
    <w:rsid w:val="007F51C7"/>
    <w:rsid w:val="00800EE4"/>
    <w:rsid w:val="0080159D"/>
    <w:rsid w:val="00804C91"/>
    <w:rsid w:val="008053B4"/>
    <w:rsid w:val="00805CE5"/>
    <w:rsid w:val="00806F9D"/>
    <w:rsid w:val="00807751"/>
    <w:rsid w:val="00807C4E"/>
    <w:rsid w:val="00810620"/>
    <w:rsid w:val="00815C89"/>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3FB"/>
    <w:rsid w:val="00952640"/>
    <w:rsid w:val="00952F93"/>
    <w:rsid w:val="0095489A"/>
    <w:rsid w:val="00955B07"/>
    <w:rsid w:val="0095746D"/>
    <w:rsid w:val="00960000"/>
    <w:rsid w:val="009601D6"/>
    <w:rsid w:val="00961C6B"/>
    <w:rsid w:val="00962636"/>
    <w:rsid w:val="00962E42"/>
    <w:rsid w:val="00964E60"/>
    <w:rsid w:val="00970742"/>
    <w:rsid w:val="00970CE8"/>
    <w:rsid w:val="00971FE5"/>
    <w:rsid w:val="00972086"/>
    <w:rsid w:val="00977E84"/>
    <w:rsid w:val="00981402"/>
    <w:rsid w:val="00981B46"/>
    <w:rsid w:val="00981F63"/>
    <w:rsid w:val="009832FD"/>
    <w:rsid w:val="0098352E"/>
    <w:rsid w:val="009837A8"/>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17D"/>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0E4"/>
    <w:rsid w:val="00A237C1"/>
    <w:rsid w:val="00A2706B"/>
    <w:rsid w:val="00A33C8D"/>
    <w:rsid w:val="00A3525D"/>
    <w:rsid w:val="00A357A8"/>
    <w:rsid w:val="00A3658F"/>
    <w:rsid w:val="00A369AC"/>
    <w:rsid w:val="00A37487"/>
    <w:rsid w:val="00A37668"/>
    <w:rsid w:val="00A37F91"/>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218"/>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C7B0C"/>
    <w:rsid w:val="00AD037F"/>
    <w:rsid w:val="00AD0A63"/>
    <w:rsid w:val="00AD1C3E"/>
    <w:rsid w:val="00AD78C6"/>
    <w:rsid w:val="00AE4F08"/>
    <w:rsid w:val="00AE5DF8"/>
    <w:rsid w:val="00AE73B2"/>
    <w:rsid w:val="00AF13F3"/>
    <w:rsid w:val="00AF14FC"/>
    <w:rsid w:val="00AF2F79"/>
    <w:rsid w:val="00AF3963"/>
    <w:rsid w:val="00AF6670"/>
    <w:rsid w:val="00AF7560"/>
    <w:rsid w:val="00AF7C16"/>
    <w:rsid w:val="00B03FFB"/>
    <w:rsid w:val="00B04811"/>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75C4D"/>
    <w:rsid w:val="00B77E05"/>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B73D5"/>
    <w:rsid w:val="00BC040C"/>
    <w:rsid w:val="00BC1B6F"/>
    <w:rsid w:val="00BC20D7"/>
    <w:rsid w:val="00BC3FE9"/>
    <w:rsid w:val="00BC4BC8"/>
    <w:rsid w:val="00BC534F"/>
    <w:rsid w:val="00BD0894"/>
    <w:rsid w:val="00BD12BA"/>
    <w:rsid w:val="00BD16A7"/>
    <w:rsid w:val="00BD1BFB"/>
    <w:rsid w:val="00BD2CA0"/>
    <w:rsid w:val="00BD2E74"/>
    <w:rsid w:val="00BD3B67"/>
    <w:rsid w:val="00BD3D23"/>
    <w:rsid w:val="00BD4801"/>
    <w:rsid w:val="00BD50D9"/>
    <w:rsid w:val="00BD7056"/>
    <w:rsid w:val="00BE42E7"/>
    <w:rsid w:val="00BE665D"/>
    <w:rsid w:val="00BE75E1"/>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5BEA"/>
    <w:rsid w:val="00C46B59"/>
    <w:rsid w:val="00C54C84"/>
    <w:rsid w:val="00C55503"/>
    <w:rsid w:val="00C568CA"/>
    <w:rsid w:val="00C56923"/>
    <w:rsid w:val="00C64650"/>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4A81"/>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26C3C"/>
    <w:rsid w:val="00D31FD2"/>
    <w:rsid w:val="00D347CA"/>
    <w:rsid w:val="00D358E9"/>
    <w:rsid w:val="00D42F0A"/>
    <w:rsid w:val="00D43D84"/>
    <w:rsid w:val="00D44353"/>
    <w:rsid w:val="00D445E7"/>
    <w:rsid w:val="00D4480F"/>
    <w:rsid w:val="00D45BFB"/>
    <w:rsid w:val="00D47C84"/>
    <w:rsid w:val="00D56862"/>
    <w:rsid w:val="00D604C2"/>
    <w:rsid w:val="00D62E7A"/>
    <w:rsid w:val="00D63476"/>
    <w:rsid w:val="00D65E80"/>
    <w:rsid w:val="00D66496"/>
    <w:rsid w:val="00D67182"/>
    <w:rsid w:val="00D675E4"/>
    <w:rsid w:val="00D729B1"/>
    <w:rsid w:val="00D75F02"/>
    <w:rsid w:val="00D8500D"/>
    <w:rsid w:val="00D851EF"/>
    <w:rsid w:val="00D85328"/>
    <w:rsid w:val="00D86CE6"/>
    <w:rsid w:val="00D92C3E"/>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049"/>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D70CB"/>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4203"/>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02/27/21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spPr>
            <a:solidFill>
              <a:sysClr val="window" lastClr="FFFFFF">
                <a:lumMod val="85000"/>
              </a:sysClr>
            </a:solidFill>
            <a:ln>
              <a:solidFill>
                <a:sysClr val="window" lastClr="FFFFFF">
                  <a:lumMod val="85000"/>
                </a:sysClr>
              </a:solidFill>
            </a:ln>
            <a:effectLst/>
          </c:spPr>
          <c:invertIfNegative val="0"/>
          <c:cat>
            <c:strRef>
              <c:f>[1]Report4_Data!$E$10:$E$67</c:f>
              <c:strCache>
                <c:ptCount val="58"/>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pt idx="57">
                  <c:v>Feb</c:v>
                </c:pt>
              </c:strCache>
            </c:strRef>
          </c:cat>
          <c:val>
            <c:numRef>
              <c:f>Report5_Data!$K$10:$K$70</c:f>
              <c:numCache>
                <c:formatCode>#,##0</c:formatCode>
                <c:ptCount val="61"/>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pt idx="56">
                  <c:v>0</c:v>
                </c:pt>
                <c:pt idx="57">
                  <c:v>8000</c:v>
                </c:pt>
                <c:pt idx="58">
                  <c:v>8000</c:v>
                </c:pt>
                <c:pt idx="59">
                  <c:v>8000</c:v>
                </c:pt>
                <c:pt idx="60">
                  <c:v>8000</c:v>
                </c:pt>
              </c:numCache>
            </c:numRef>
          </c:val>
          <c:extLst>
            <c:ext xmlns:c16="http://schemas.microsoft.com/office/drawing/2014/chart" uri="{C3380CC4-5D6E-409C-BE32-E72D297353CC}">
              <c16:uniqueId val="{00000000-7A7F-4338-9654-A8D7159C870F}"/>
            </c:ext>
          </c:extLst>
        </c:ser>
        <c:dLbls>
          <c:showLegendKey val="0"/>
          <c:showVal val="0"/>
          <c:showCatName val="0"/>
          <c:showSerName val="0"/>
          <c:showPercent val="0"/>
          <c:showBubbleSize val="0"/>
        </c:dLbls>
        <c:gapWidth val="0"/>
        <c:overlap val="100"/>
        <c:axId val="416440904"/>
        <c:axId val="416439264"/>
      </c:barChart>
      <c:lineChart>
        <c:grouping val="standard"/>
        <c:varyColors val="0"/>
        <c:ser>
          <c:idx val="1"/>
          <c:order val="0"/>
          <c:spPr>
            <a:ln w="28575" cap="rnd">
              <a:solidFill>
                <a:srgbClr val="00B050"/>
              </a:solidFill>
              <a:round/>
            </a:ln>
            <a:effectLst/>
          </c:spPr>
          <c:marker>
            <c:symbol val="none"/>
          </c:marker>
          <c:cat>
            <c:strRef>
              <c:f>Report5_Data!$J$10:$J$70</c:f>
              <c:strCache>
                <c:ptCount val="58"/>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pt idx="57">
                  <c:v>Feb</c:v>
                </c:pt>
              </c:strCache>
            </c:strRef>
          </c:cat>
          <c:val>
            <c:numRef>
              <c:f>Report5_Data!$L$10:$L$70</c:f>
              <c:numCache>
                <c:formatCode>General</c:formatCode>
                <c:ptCount val="61"/>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3376</c:v>
                </c:pt>
                <c:pt idx="13">
                  <c:v>3367</c:v>
                </c:pt>
                <c:pt idx="14">
                  <c:v>2772</c:v>
                </c:pt>
                <c:pt idx="15">
                  <c:v>2715</c:v>
                </c:pt>
                <c:pt idx="16">
                  <c:v>2807</c:v>
                </c:pt>
                <c:pt idx="17">
                  <c:v>2121</c:v>
                </c:pt>
                <c:pt idx="18">
                  <c:v>3180</c:v>
                </c:pt>
                <c:pt idx="19">
                  <c:v>2257</c:v>
                </c:pt>
                <c:pt idx="20">
                  <c:v>3644</c:v>
                </c:pt>
                <c:pt idx="21">
                  <c:v>4384</c:v>
                </c:pt>
                <c:pt idx="22">
                  <c:v>4328</c:v>
                </c:pt>
                <c:pt idx="23">
                  <c:v>5939</c:v>
                </c:pt>
                <c:pt idx="24">
                  <c:v>5005</c:v>
                </c:pt>
                <c:pt idx="25">
                  <c:v>5301</c:v>
                </c:pt>
                <c:pt idx="26">
                  <c:v>3445</c:v>
                </c:pt>
                <c:pt idx="27">
                  <c:v>4647</c:v>
                </c:pt>
                <c:pt idx="28">
                  <c:v>4169</c:v>
                </c:pt>
                <c:pt idx="29">
                  <c:v>5079</c:v>
                </c:pt>
                <c:pt idx="30">
                  <c:v>5508</c:v>
                </c:pt>
                <c:pt idx="31">
                  <c:v>5635</c:v>
                </c:pt>
                <c:pt idx="32">
                  <c:v>3522</c:v>
                </c:pt>
                <c:pt idx="33">
                  <c:v>4608</c:v>
                </c:pt>
                <c:pt idx="34">
                  <c:v>4984</c:v>
                </c:pt>
                <c:pt idx="35">
                  <c:v>5997</c:v>
                </c:pt>
                <c:pt idx="36">
                  <c:v>4705</c:v>
                </c:pt>
                <c:pt idx="37">
                  <c:v>4691</c:v>
                </c:pt>
                <c:pt idx="38">
                  <c:v>3464</c:v>
                </c:pt>
                <c:pt idx="39">
                  <c:v>4680</c:v>
                </c:pt>
                <c:pt idx="40">
                  <c:v>4896</c:v>
                </c:pt>
                <c:pt idx="41">
                  <c:v>4902</c:v>
                </c:pt>
                <c:pt idx="42" formatCode="#,##0">
                  <c:v>4463</c:v>
                </c:pt>
                <c:pt idx="43" formatCode="#,##0">
                  <c:v>5050</c:v>
                </c:pt>
                <c:pt idx="44" formatCode="#,##0">
                  <c:v>4516</c:v>
                </c:pt>
                <c:pt idx="45" formatCode="#,##0">
                  <c:v>3511</c:v>
                </c:pt>
                <c:pt idx="46" formatCode="#,##0">
                  <c:v>3754</c:v>
                </c:pt>
                <c:pt idx="47" formatCode="#,##0">
                  <c:v>3482</c:v>
                </c:pt>
                <c:pt idx="48" formatCode="#,##0">
                  <c:v>3354</c:v>
                </c:pt>
                <c:pt idx="49" formatCode="#,##0">
                  <c:v>4672</c:v>
                </c:pt>
                <c:pt idx="50" formatCode="#,##0">
                  <c:v>3943</c:v>
                </c:pt>
                <c:pt idx="51" formatCode="#,##0">
                  <c:v>3355</c:v>
                </c:pt>
                <c:pt idx="52" formatCode="#,##0">
                  <c:v>2430</c:v>
                </c:pt>
                <c:pt idx="53" formatCode="#,##0">
                  <c:v>4629</c:v>
                </c:pt>
                <c:pt idx="54" formatCode="#,##0">
                  <c:v>5597</c:v>
                </c:pt>
                <c:pt idx="55" formatCode="#,##0">
                  <c:v>4493</c:v>
                </c:pt>
                <c:pt idx="56">
                  <c:v>4127</c:v>
                </c:pt>
                <c:pt idx="57">
                  <c:v>3950</c:v>
                </c:pt>
                <c:pt idx="58">
                  <c:v>4022</c:v>
                </c:pt>
                <c:pt idx="59">
                  <c:v>5639</c:v>
                </c:pt>
                <c:pt idx="60">
                  <c:v>4223</c:v>
                </c:pt>
              </c:numCache>
            </c:numRef>
          </c:val>
          <c:smooth val="0"/>
          <c:extLst>
            <c:ext xmlns:c16="http://schemas.microsoft.com/office/drawing/2014/chart" uri="{C3380CC4-5D6E-409C-BE32-E72D297353CC}">
              <c16:uniqueId val="{00000001-7A7F-4338-9654-A8D7159C870F}"/>
            </c:ext>
          </c:extLst>
        </c:ser>
        <c:dLbls>
          <c:showLegendKey val="0"/>
          <c:showVal val="0"/>
          <c:showCatName val="0"/>
          <c:showSerName val="0"/>
          <c:showPercent val="0"/>
          <c:showBubbleSize val="0"/>
        </c:dLbls>
        <c:marker val="1"/>
        <c:smooth val="0"/>
        <c:axId val="416440904"/>
        <c:axId val="416439264"/>
      </c:lineChart>
      <c:catAx>
        <c:axId val="41644090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5579476858227863"/>
              <c:y val="0.90837764268716203"/>
            </c:manualLayout>
          </c:layout>
          <c:overlay val="0"/>
          <c:spPr>
            <a:noFill/>
            <a:ln>
              <a:solidFill>
                <a:sysClr val="window" lastClr="FFFFFF"/>
              </a:solid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627</Words>
  <Characters>3578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Velez, Nestor</cp:lastModifiedBy>
  <cp:revision>2</cp:revision>
  <cp:lastPrinted>2020-05-22T15:25:00Z</cp:lastPrinted>
  <dcterms:created xsi:type="dcterms:W3CDTF">2021-03-05T20:53:00Z</dcterms:created>
  <dcterms:modified xsi:type="dcterms:W3CDTF">2021-03-05T20:53:00Z</dcterms:modified>
</cp:coreProperties>
</file>